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C2E4" w14:textId="01C0B873" w:rsidR="00C352BE" w:rsidRPr="00077B19" w:rsidRDefault="00C352BE">
      <w:pPr>
        <w:rPr>
          <w:b/>
          <w:bCs/>
          <w:sz w:val="28"/>
          <w:szCs w:val="28"/>
        </w:rPr>
      </w:pPr>
      <w:r w:rsidRPr="00077B19">
        <w:rPr>
          <w:b/>
          <w:bCs/>
          <w:sz w:val="28"/>
          <w:szCs w:val="28"/>
        </w:rPr>
        <w:t>Note sur l’évolution salariale – SNASUB-FSU</w:t>
      </w:r>
    </w:p>
    <w:p w14:paraId="5970D2DE" w14:textId="5B87B9CD" w:rsidR="001C4EB1" w:rsidRPr="00077B19" w:rsidRDefault="001C4EB1">
      <w:pPr>
        <w:rPr>
          <w:b/>
          <w:bCs/>
          <w:sz w:val="20"/>
          <w:szCs w:val="20"/>
        </w:rPr>
      </w:pPr>
      <w:r w:rsidRPr="00077B19">
        <w:rPr>
          <w:b/>
          <w:bCs/>
          <w:sz w:val="28"/>
          <w:szCs w:val="28"/>
        </w:rPr>
        <w:t>30 juin 2022</w:t>
      </w:r>
    </w:p>
    <w:p w14:paraId="57BCA05C" w14:textId="7A60D0D2" w:rsidR="00C352BE" w:rsidRDefault="00C352BE">
      <w:pPr>
        <w:rPr>
          <w:sz w:val="18"/>
          <w:szCs w:val="18"/>
        </w:rPr>
      </w:pPr>
    </w:p>
    <w:p w14:paraId="6F37FB9A" w14:textId="5CD0C1B5" w:rsidR="00C352BE" w:rsidRDefault="00077B19">
      <w:pPr>
        <w:rPr>
          <w:sz w:val="24"/>
          <w:szCs w:val="24"/>
        </w:rPr>
      </w:pPr>
      <w:r w:rsidRPr="00077B19">
        <w:rPr>
          <w:sz w:val="24"/>
          <w:szCs w:val="24"/>
        </w:rPr>
        <w:t>Voici quelques éléments rapides sur la situation salariale.</w:t>
      </w:r>
    </w:p>
    <w:p w14:paraId="4FA42042" w14:textId="66766635" w:rsidR="00077B19" w:rsidRDefault="00077B19">
      <w:pPr>
        <w:rPr>
          <w:sz w:val="24"/>
          <w:szCs w:val="24"/>
        </w:rPr>
      </w:pPr>
    </w:p>
    <w:p w14:paraId="673BDE1C" w14:textId="2981CA61" w:rsidR="00077B19" w:rsidRPr="00077B19" w:rsidRDefault="00077B19">
      <w:pPr>
        <w:rPr>
          <w:sz w:val="24"/>
          <w:szCs w:val="24"/>
        </w:rPr>
      </w:pPr>
      <w:r>
        <w:rPr>
          <w:sz w:val="24"/>
          <w:szCs w:val="24"/>
        </w:rPr>
        <w:t xml:space="preserve">Les salariés payés au SMIC </w:t>
      </w:r>
      <w:r w:rsidRPr="00077B19">
        <w:rPr>
          <w:sz w:val="24"/>
          <w:szCs w:val="24"/>
        </w:rPr>
        <w:t>concernait 2,04 millions de salariés (environ 12 % de l’emploi salarié au 1er janvier 2021).</w:t>
      </w:r>
      <w:r>
        <w:rPr>
          <w:sz w:val="24"/>
          <w:szCs w:val="24"/>
        </w:rPr>
        <w:t xml:space="preserve"> </w:t>
      </w:r>
      <w:r w:rsidR="00FC3B74">
        <w:rPr>
          <w:sz w:val="24"/>
          <w:szCs w:val="24"/>
        </w:rPr>
        <w:t>L</w:t>
      </w:r>
      <w:r w:rsidR="00FC3B74">
        <w:rPr>
          <w:sz w:val="24"/>
          <w:szCs w:val="24"/>
        </w:rPr>
        <w:t>es collègues qui reçoivent le « minimum fonction publique », soit 352 points d’indice sont légèrement au-dessus</w:t>
      </w:r>
      <w:r w:rsidR="00FC3B74">
        <w:rPr>
          <w:sz w:val="24"/>
          <w:szCs w:val="24"/>
        </w:rPr>
        <w:t xml:space="preserve"> du SMIC,</w:t>
      </w:r>
      <w:r w:rsidR="00FC3B74">
        <w:rPr>
          <w:sz w:val="24"/>
          <w:szCs w:val="24"/>
        </w:rPr>
        <w:t xml:space="preserve"> à +3.9€</w:t>
      </w:r>
      <w:r w:rsidR="00FC3B74">
        <w:rPr>
          <w:sz w:val="24"/>
          <w:szCs w:val="24"/>
        </w:rPr>
        <w:t>.</w:t>
      </w:r>
      <w:r w:rsidR="00FC3B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</w:t>
      </w:r>
      <w:r w:rsidR="00FC3B74">
        <w:rPr>
          <w:sz w:val="24"/>
          <w:szCs w:val="24"/>
        </w:rPr>
        <w:t>conséquence, chaque hausse de SMIC percute le minimum FP. Par ailleurs, ce</w:t>
      </w:r>
      <w:r w:rsidR="004B0004">
        <w:rPr>
          <w:sz w:val="24"/>
          <w:szCs w:val="24"/>
        </w:rPr>
        <w:t xml:space="preserve">s hausses </w:t>
      </w:r>
      <w:r w:rsidR="00FC3B74">
        <w:rPr>
          <w:sz w:val="24"/>
          <w:szCs w:val="24"/>
        </w:rPr>
        <w:t>qui n</w:t>
      </w:r>
      <w:r w:rsidR="004B0004">
        <w:rPr>
          <w:sz w:val="24"/>
          <w:szCs w:val="24"/>
        </w:rPr>
        <w:t xml:space="preserve">e sont </w:t>
      </w:r>
      <w:r w:rsidR="00FC3B74">
        <w:rPr>
          <w:sz w:val="24"/>
          <w:szCs w:val="24"/>
        </w:rPr>
        <w:t>pas répercuté</w:t>
      </w:r>
      <w:r w:rsidR="004B0004">
        <w:rPr>
          <w:sz w:val="24"/>
          <w:szCs w:val="24"/>
        </w:rPr>
        <w:t>es</w:t>
      </w:r>
      <w:r w:rsidR="00FC3B74">
        <w:rPr>
          <w:sz w:val="24"/>
          <w:szCs w:val="24"/>
        </w:rPr>
        <w:t xml:space="preserve"> dans le reste de la structure des salaires diminue d’autant l’amplitude des carrières.</w:t>
      </w:r>
      <w:r w:rsidR="004B0004">
        <w:rPr>
          <w:sz w:val="24"/>
          <w:szCs w:val="24"/>
        </w:rPr>
        <w:t xml:space="preserve"> C’est pourquoi le SNASUB-FSU revendique avec force l’indexation de tous les salaires sur l’inflation.</w:t>
      </w:r>
    </w:p>
    <w:p w14:paraId="64EF32E0" w14:textId="77777777" w:rsidR="00077B19" w:rsidRDefault="00077B19">
      <w:pPr>
        <w:rPr>
          <w:sz w:val="18"/>
          <w:szCs w:val="18"/>
        </w:rPr>
      </w:pPr>
    </w:p>
    <w:p w14:paraId="554E1CB5" w14:textId="70BB463E" w:rsidR="004B0004" w:rsidRPr="004B0004" w:rsidRDefault="004B0004" w:rsidP="00C352BE">
      <w:pPr>
        <w:pStyle w:val="Standard"/>
        <w:jc w:val="both"/>
        <w:rPr>
          <w:rFonts w:ascii="Calibri" w:hAnsi="Calibri" w:cs="Calibri"/>
          <w:color w:val="000000" w:themeColor="text1"/>
          <w:u w:val="single"/>
        </w:rPr>
      </w:pPr>
      <w:r w:rsidRPr="004B0004">
        <w:rPr>
          <w:rFonts w:ascii="Calibri" w:hAnsi="Calibri" w:cs="Calibri"/>
          <w:color w:val="000000" w:themeColor="text1"/>
          <w:u w:val="single"/>
        </w:rPr>
        <w:t>SMIC</w:t>
      </w:r>
    </w:p>
    <w:p w14:paraId="34437CB1" w14:textId="515E7E83" w:rsidR="00C352BE" w:rsidRDefault="00C352BE" w:rsidP="00C352BE">
      <w:pPr>
        <w:pStyle w:val="Standard"/>
        <w:jc w:val="both"/>
        <w:rPr>
          <w:rFonts w:ascii="Calibri" w:hAnsi="Calibri" w:cs="Calibri"/>
          <w:color w:val="000000" w:themeColor="text1"/>
        </w:rPr>
      </w:pPr>
      <w:r w:rsidRPr="00C352BE">
        <w:rPr>
          <w:rFonts w:ascii="Calibri" w:hAnsi="Calibri" w:cs="Calibri"/>
          <w:color w:val="000000" w:themeColor="text1"/>
        </w:rPr>
        <w:t>Conséquence de l’inflation et d’un taux de croissance dynamique, le SMIC est revalorisé de 2,2 % au 1</w:t>
      </w:r>
      <w:r w:rsidRPr="00C352BE">
        <w:rPr>
          <w:rFonts w:ascii="Calibri" w:hAnsi="Calibri" w:cs="Calibri"/>
          <w:color w:val="000000" w:themeColor="text1"/>
          <w:vertAlign w:val="superscript"/>
        </w:rPr>
        <w:t>er</w:t>
      </w:r>
      <w:r w:rsidRPr="00C352BE">
        <w:rPr>
          <w:rFonts w:ascii="Calibri" w:hAnsi="Calibri" w:cs="Calibri"/>
          <w:color w:val="000000" w:themeColor="text1"/>
        </w:rPr>
        <w:t xml:space="preserve"> octobre 2021, puis de 0,9 % au 1</w:t>
      </w:r>
      <w:r w:rsidRPr="00C352BE">
        <w:rPr>
          <w:rFonts w:ascii="Calibri" w:hAnsi="Calibri" w:cs="Calibri"/>
          <w:color w:val="000000" w:themeColor="text1"/>
          <w:vertAlign w:val="superscript"/>
        </w:rPr>
        <w:t>er</w:t>
      </w:r>
      <w:r w:rsidRPr="00C352BE">
        <w:rPr>
          <w:rFonts w:ascii="Calibri" w:hAnsi="Calibri" w:cs="Calibri"/>
          <w:color w:val="000000" w:themeColor="text1"/>
        </w:rPr>
        <w:t xml:space="preserve"> janvier 2022, </w:t>
      </w:r>
      <w:r w:rsidR="0032419A">
        <w:rPr>
          <w:rFonts w:ascii="Calibri" w:hAnsi="Calibri" w:cs="Calibri"/>
          <w:color w:val="000000" w:themeColor="text1"/>
        </w:rPr>
        <w:t xml:space="preserve">puis de </w:t>
      </w:r>
      <w:r w:rsidR="0032419A" w:rsidRPr="0032419A">
        <w:rPr>
          <w:rFonts w:ascii="Calibri" w:hAnsi="Calibri" w:cs="Calibri"/>
          <w:color w:val="000000" w:themeColor="text1"/>
        </w:rPr>
        <w:t>2,65 % le 1er mai 2022</w:t>
      </w:r>
      <w:r w:rsidR="00C03C20">
        <w:rPr>
          <w:rFonts w:ascii="Calibri" w:hAnsi="Calibri" w:cs="Calibri"/>
          <w:color w:val="000000" w:themeColor="text1"/>
        </w:rPr>
        <w:t>.</w:t>
      </w:r>
    </w:p>
    <w:p w14:paraId="73F89953" w14:textId="77777777" w:rsidR="00EF619E" w:rsidRDefault="00EF619E" w:rsidP="00EF619E">
      <w:pPr>
        <w:pStyle w:val="Standard"/>
        <w:jc w:val="both"/>
        <w:rPr>
          <w:rFonts w:ascii="Calibri" w:hAnsi="Calibri" w:cs="Calibri"/>
          <w:color w:val="000000" w:themeColor="text1"/>
        </w:rPr>
      </w:pPr>
    </w:p>
    <w:p w14:paraId="14360C5B" w14:textId="3128595A" w:rsidR="00EF619E" w:rsidRDefault="00EF619E" w:rsidP="00EF619E">
      <w:pPr>
        <w:pStyle w:val="Standard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SMIC au 1</w:t>
      </w:r>
      <w:r w:rsidRPr="00C0084A">
        <w:rPr>
          <w:rFonts w:ascii="Calibri" w:hAnsi="Calibri" w:cs="Calibri"/>
          <w:color w:val="000000" w:themeColor="text1"/>
        </w:rPr>
        <w:t>er</w:t>
      </w:r>
      <w:r>
        <w:rPr>
          <w:rFonts w:ascii="Calibri" w:hAnsi="Calibri" w:cs="Calibri"/>
          <w:color w:val="000000" w:themeColor="text1"/>
        </w:rPr>
        <w:t xml:space="preserve"> janvier 2021 : </w:t>
      </w:r>
      <w:r w:rsidRPr="00C0084A">
        <w:rPr>
          <w:rFonts w:ascii="Calibri" w:hAnsi="Calibri" w:cs="Calibri"/>
          <w:color w:val="000000" w:themeColor="text1"/>
        </w:rPr>
        <w:t>1</w:t>
      </w:r>
      <w:r>
        <w:rPr>
          <w:rFonts w:ascii="Calibri" w:hAnsi="Calibri" w:cs="Calibri"/>
          <w:color w:val="000000" w:themeColor="text1"/>
        </w:rPr>
        <w:t xml:space="preserve"> </w:t>
      </w:r>
      <w:r w:rsidRPr="00C0084A">
        <w:rPr>
          <w:rFonts w:ascii="Calibri" w:hAnsi="Calibri" w:cs="Calibri"/>
          <w:color w:val="000000" w:themeColor="text1"/>
        </w:rPr>
        <w:t>554,58 €</w:t>
      </w:r>
      <w:r>
        <w:rPr>
          <w:rFonts w:ascii="Calibri" w:hAnsi="Calibri" w:cs="Calibri"/>
          <w:color w:val="000000" w:themeColor="text1"/>
        </w:rPr>
        <w:t xml:space="preserve"> </w:t>
      </w:r>
      <w:r w:rsidRPr="0032419A">
        <w:rPr>
          <w:rFonts w:ascii="Calibri" w:hAnsi="Calibri" w:cs="Calibri"/>
          <w:color w:val="000000" w:themeColor="text1"/>
        </w:rPr>
        <w:t>bruts</w:t>
      </w:r>
    </w:p>
    <w:p w14:paraId="7884B335" w14:textId="77777777" w:rsidR="00EF619E" w:rsidRDefault="00EF619E" w:rsidP="00EF619E">
      <w:pPr>
        <w:pStyle w:val="Standard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SMIC au 1</w:t>
      </w:r>
      <w:r w:rsidRPr="00C0084A">
        <w:rPr>
          <w:rFonts w:ascii="Calibri" w:hAnsi="Calibri" w:cs="Calibri"/>
          <w:color w:val="000000" w:themeColor="text1"/>
        </w:rPr>
        <w:t>er</w:t>
      </w:r>
      <w:r>
        <w:rPr>
          <w:rFonts w:ascii="Calibri" w:hAnsi="Calibri" w:cs="Calibri"/>
          <w:color w:val="000000" w:themeColor="text1"/>
        </w:rPr>
        <w:t xml:space="preserve"> octobre 2021 : </w:t>
      </w:r>
      <w:r w:rsidRPr="00C0084A">
        <w:rPr>
          <w:rFonts w:ascii="Calibri" w:hAnsi="Calibri" w:cs="Calibri"/>
          <w:color w:val="000000" w:themeColor="text1"/>
        </w:rPr>
        <w:t>1</w:t>
      </w:r>
      <w:r>
        <w:rPr>
          <w:rFonts w:ascii="Calibri" w:hAnsi="Calibri" w:cs="Calibri"/>
          <w:color w:val="000000" w:themeColor="text1"/>
        </w:rPr>
        <w:t xml:space="preserve"> </w:t>
      </w:r>
      <w:r w:rsidRPr="00C0084A">
        <w:rPr>
          <w:rFonts w:ascii="Calibri" w:hAnsi="Calibri" w:cs="Calibri"/>
          <w:color w:val="000000" w:themeColor="text1"/>
        </w:rPr>
        <w:t>589,47 €</w:t>
      </w:r>
    </w:p>
    <w:p w14:paraId="15DBE248" w14:textId="77777777" w:rsidR="00EF619E" w:rsidRPr="00C352BE" w:rsidRDefault="00EF619E" w:rsidP="00EF619E">
      <w:pPr>
        <w:pStyle w:val="Standard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SMIC au 1</w:t>
      </w:r>
      <w:r w:rsidRPr="00C0084A">
        <w:rPr>
          <w:rFonts w:ascii="Calibri" w:hAnsi="Calibri" w:cs="Calibri"/>
          <w:color w:val="000000" w:themeColor="text1"/>
        </w:rPr>
        <w:t>er</w:t>
      </w:r>
      <w:r>
        <w:rPr>
          <w:rFonts w:ascii="Calibri" w:hAnsi="Calibri" w:cs="Calibri"/>
          <w:color w:val="000000" w:themeColor="text1"/>
        </w:rPr>
        <w:t xml:space="preserve"> janvier 2022 : </w:t>
      </w:r>
      <w:r w:rsidRPr="0032419A">
        <w:rPr>
          <w:rFonts w:ascii="Calibri" w:hAnsi="Calibri" w:cs="Calibri"/>
          <w:color w:val="000000" w:themeColor="text1"/>
        </w:rPr>
        <w:t xml:space="preserve">1 603,78 € </w:t>
      </w:r>
    </w:p>
    <w:p w14:paraId="2F849888" w14:textId="77777777" w:rsidR="00EF619E" w:rsidRPr="00C0084A" w:rsidRDefault="00EF619E" w:rsidP="00EF619E">
      <w:pPr>
        <w:pStyle w:val="Standard"/>
        <w:jc w:val="both"/>
        <w:rPr>
          <w:rFonts w:ascii="Calibri" w:hAnsi="Calibri" w:cs="Calibri"/>
          <w:color w:val="000000" w:themeColor="text1"/>
        </w:rPr>
      </w:pPr>
      <w:r w:rsidRPr="00C0084A">
        <w:rPr>
          <w:rFonts w:ascii="Calibri" w:hAnsi="Calibri" w:cs="Calibri"/>
          <w:color w:val="000000" w:themeColor="text1"/>
        </w:rPr>
        <w:t>SMIC au 1er mai 2022 : 1 645,58€</w:t>
      </w:r>
    </w:p>
    <w:p w14:paraId="5F9461E7" w14:textId="5A7CC3E4" w:rsidR="00EA0A98" w:rsidRDefault="00EA0A98" w:rsidP="00C352BE">
      <w:pPr>
        <w:pStyle w:val="Standard"/>
        <w:jc w:val="both"/>
        <w:rPr>
          <w:rFonts w:ascii="Calibri" w:hAnsi="Calibri" w:cs="Calibri"/>
          <w:color w:val="000000" w:themeColor="text1"/>
        </w:rPr>
      </w:pPr>
    </w:p>
    <w:p w14:paraId="7F73EE05" w14:textId="2BFF67D8" w:rsidR="00EA0A98" w:rsidRDefault="00EA0A98" w:rsidP="00C352BE">
      <w:pPr>
        <w:pStyle w:val="Standard"/>
        <w:jc w:val="both"/>
        <w:rPr>
          <w:rFonts w:ascii="Calibri" w:hAnsi="Calibri" w:cs="Calibri"/>
          <w:color w:val="000000" w:themeColor="text1"/>
          <w:u w:val="single"/>
        </w:rPr>
      </w:pPr>
      <w:r w:rsidRPr="00EA0A98">
        <w:rPr>
          <w:rFonts w:ascii="Calibri" w:hAnsi="Calibri" w:cs="Calibri"/>
          <w:color w:val="000000" w:themeColor="text1"/>
          <w:u w:val="single"/>
        </w:rPr>
        <w:t>Minimum FP</w:t>
      </w:r>
    </w:p>
    <w:p w14:paraId="003F88CA" w14:textId="7617DD15" w:rsidR="00EA0A98" w:rsidRPr="00EA0A98" w:rsidRDefault="00EA0A98" w:rsidP="00C352BE">
      <w:pPr>
        <w:pStyle w:val="Standard"/>
        <w:jc w:val="both"/>
        <w:rPr>
          <w:rFonts w:ascii="Calibri" w:hAnsi="Calibri" w:cs="Calibri"/>
          <w:color w:val="000000" w:themeColor="text1"/>
        </w:rPr>
      </w:pPr>
      <w:r w:rsidRPr="00EA0A98">
        <w:rPr>
          <w:rFonts w:ascii="Calibri" w:hAnsi="Calibri" w:cs="Calibri"/>
          <w:color w:val="000000" w:themeColor="text1"/>
        </w:rPr>
        <w:t>Pendant longtemps le minimum FP était inférieur au SMIC</w:t>
      </w:r>
      <w:r>
        <w:rPr>
          <w:rFonts w:ascii="Calibri" w:hAnsi="Calibri" w:cs="Calibri"/>
          <w:color w:val="000000" w:themeColor="text1"/>
        </w:rPr>
        <w:t xml:space="preserve">. Les administrations devaient déclencher l’indemnité </w:t>
      </w:r>
      <w:r w:rsidR="00EF619E">
        <w:rPr>
          <w:rFonts w:ascii="Calibri" w:hAnsi="Calibri" w:cs="Calibri"/>
          <w:color w:val="000000" w:themeColor="text1"/>
        </w:rPr>
        <w:t>différentielle</w:t>
      </w:r>
      <w:r>
        <w:rPr>
          <w:rFonts w:ascii="Calibri" w:hAnsi="Calibri" w:cs="Calibri"/>
          <w:color w:val="000000" w:themeColor="text1"/>
        </w:rPr>
        <w:t xml:space="preserve"> SMIC pour remettre à flot le salaire minimum</w:t>
      </w:r>
      <w:r w:rsidR="00EF619E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 xml:space="preserve"> Depuis maintenant un an, le minimum </w:t>
      </w:r>
      <w:r w:rsidR="00EF619E">
        <w:rPr>
          <w:rFonts w:ascii="Calibri" w:hAnsi="Calibri" w:cs="Calibri"/>
          <w:color w:val="000000" w:themeColor="text1"/>
        </w:rPr>
        <w:t xml:space="preserve">FP </w:t>
      </w:r>
      <w:r>
        <w:rPr>
          <w:rFonts w:ascii="Calibri" w:hAnsi="Calibri" w:cs="Calibri"/>
          <w:color w:val="000000" w:themeColor="text1"/>
        </w:rPr>
        <w:t>a été revu 3 fois.</w:t>
      </w:r>
      <w:r w:rsidR="00EF619E">
        <w:rPr>
          <w:rFonts w:ascii="Calibri" w:hAnsi="Calibri" w:cs="Calibri"/>
          <w:color w:val="000000" w:themeColor="text1"/>
        </w:rPr>
        <w:t xml:space="preserve"> (Voir tableau)</w:t>
      </w:r>
    </w:p>
    <w:p w14:paraId="5E855146" w14:textId="77777777" w:rsidR="00C03C20" w:rsidRPr="0032419A" w:rsidRDefault="00C03C20" w:rsidP="00C352BE">
      <w:pPr>
        <w:pStyle w:val="Standard"/>
        <w:jc w:val="both"/>
        <w:rPr>
          <w:rFonts w:hint="eastAsia"/>
          <w:color w:val="000000" w:themeColor="text1"/>
        </w:rPr>
      </w:pPr>
    </w:p>
    <w:p w14:paraId="0C9673EC" w14:textId="6E04E67F" w:rsidR="00EF619E" w:rsidRDefault="00EF619E" w:rsidP="00C352BE">
      <w:pPr>
        <w:pStyle w:val="Standard"/>
        <w:jc w:val="both"/>
        <w:rPr>
          <w:rFonts w:ascii="Calibri" w:hAnsi="Calibri" w:cs="Calibri"/>
          <w:color w:val="000000" w:themeColor="text1"/>
          <w:u w:val="single"/>
        </w:rPr>
      </w:pPr>
      <w:r w:rsidRPr="00EF619E">
        <w:rPr>
          <w:rFonts w:ascii="Calibri" w:hAnsi="Calibri" w:cs="Calibri"/>
          <w:color w:val="000000" w:themeColor="text1"/>
          <w:u w:val="single"/>
        </w:rPr>
        <w:t>Valeur du point d’indice</w:t>
      </w:r>
    </w:p>
    <w:p w14:paraId="4D0B9092" w14:textId="604341AA" w:rsidR="00EF619E" w:rsidRDefault="00EF619E" w:rsidP="00C352BE">
      <w:pPr>
        <w:pStyle w:val="Standard"/>
        <w:jc w:val="both"/>
        <w:rPr>
          <w:rFonts w:ascii="Calibri" w:hAnsi="Calibri" w:cs="Calibri"/>
          <w:color w:val="000000" w:themeColor="text1"/>
        </w:rPr>
      </w:pPr>
      <w:r w:rsidRPr="00EF619E">
        <w:rPr>
          <w:rFonts w:ascii="Calibri" w:hAnsi="Calibri" w:cs="Calibri"/>
          <w:color w:val="000000" w:themeColor="text1"/>
        </w:rPr>
        <w:t>Méprisé</w:t>
      </w:r>
      <w:r>
        <w:rPr>
          <w:rFonts w:ascii="Calibri" w:hAnsi="Calibri" w:cs="Calibri"/>
          <w:color w:val="000000" w:themeColor="text1"/>
        </w:rPr>
        <w:t>e</w:t>
      </w:r>
      <w:r w:rsidRPr="00EF619E">
        <w:rPr>
          <w:rFonts w:ascii="Calibri" w:hAnsi="Calibri" w:cs="Calibri"/>
          <w:color w:val="000000" w:themeColor="text1"/>
        </w:rPr>
        <w:t xml:space="preserve"> par les gouvernements depuis des décennies</w:t>
      </w:r>
      <w:r>
        <w:rPr>
          <w:rFonts w:ascii="Calibri" w:hAnsi="Calibri" w:cs="Calibri"/>
          <w:color w:val="000000" w:themeColor="text1"/>
        </w:rPr>
        <w:t xml:space="preserve">, il n’a guère évolué. </w:t>
      </w:r>
    </w:p>
    <w:p w14:paraId="51666526" w14:textId="77777777" w:rsidR="00EF619E" w:rsidRPr="00EF619E" w:rsidRDefault="00EF619E" w:rsidP="00C352BE">
      <w:pPr>
        <w:pStyle w:val="Standard"/>
        <w:jc w:val="both"/>
        <w:rPr>
          <w:rFonts w:ascii="Calibri" w:hAnsi="Calibri" w:cs="Calibri"/>
          <w:color w:val="000000" w:themeColor="text1"/>
        </w:rPr>
      </w:pPr>
    </w:p>
    <w:p w14:paraId="14EFA36D" w14:textId="0C895BE1" w:rsidR="00C352BE" w:rsidRDefault="00C352BE" w:rsidP="00C352BE">
      <w:pPr>
        <w:pStyle w:val="Standard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Valeur du point d’indice depuis </w:t>
      </w:r>
      <w:r w:rsidR="001C4EB1">
        <w:rPr>
          <w:rFonts w:ascii="Calibri" w:hAnsi="Calibri" w:cs="Calibri"/>
          <w:color w:val="000000" w:themeColor="text1"/>
        </w:rPr>
        <w:t>le 1</w:t>
      </w:r>
      <w:r w:rsidR="001C4EB1" w:rsidRPr="00C0084A">
        <w:rPr>
          <w:rFonts w:ascii="Calibri" w:hAnsi="Calibri" w:cs="Calibri"/>
          <w:color w:val="000000" w:themeColor="text1"/>
        </w:rPr>
        <w:t>er</w:t>
      </w:r>
      <w:r w:rsidR="001C4EB1">
        <w:rPr>
          <w:rFonts w:ascii="Calibri" w:hAnsi="Calibri" w:cs="Calibri"/>
          <w:color w:val="000000" w:themeColor="text1"/>
        </w:rPr>
        <w:t xml:space="preserve"> février </w:t>
      </w:r>
      <w:r>
        <w:rPr>
          <w:rFonts w:ascii="Calibri" w:hAnsi="Calibri" w:cs="Calibri"/>
          <w:color w:val="000000" w:themeColor="text1"/>
        </w:rPr>
        <w:t xml:space="preserve">2017 : </w:t>
      </w:r>
      <w:r w:rsidRPr="00C352BE">
        <w:rPr>
          <w:rFonts w:ascii="Calibri" w:hAnsi="Calibri" w:cs="Calibri"/>
          <w:color w:val="000000" w:themeColor="text1"/>
        </w:rPr>
        <w:t>4,</w:t>
      </w:r>
      <w:r>
        <w:rPr>
          <w:rFonts w:ascii="Calibri" w:hAnsi="Calibri" w:cs="Calibri"/>
          <w:color w:val="000000" w:themeColor="text1"/>
        </w:rPr>
        <w:t>686025€</w:t>
      </w:r>
    </w:p>
    <w:p w14:paraId="73FFE68D" w14:textId="0C6D634D" w:rsidR="00C352BE" w:rsidRDefault="00C352BE" w:rsidP="00C352BE">
      <w:pPr>
        <w:pStyle w:val="Standard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Valeur du point d’indice au 1</w:t>
      </w:r>
      <w:r w:rsidRPr="00C0084A">
        <w:rPr>
          <w:rFonts w:ascii="Calibri" w:hAnsi="Calibri" w:cs="Calibri"/>
          <w:color w:val="000000" w:themeColor="text1"/>
        </w:rPr>
        <w:t>er</w:t>
      </w:r>
      <w:r>
        <w:rPr>
          <w:rFonts w:ascii="Calibri" w:hAnsi="Calibri" w:cs="Calibri"/>
          <w:color w:val="000000" w:themeColor="text1"/>
        </w:rPr>
        <w:t xml:space="preserve"> juillet 2022 : </w:t>
      </w:r>
      <w:r w:rsidRPr="00C352BE">
        <w:rPr>
          <w:rFonts w:ascii="Calibri" w:hAnsi="Calibri" w:cs="Calibri"/>
          <w:color w:val="000000" w:themeColor="text1"/>
        </w:rPr>
        <w:t>4,85003</w:t>
      </w:r>
      <w:r w:rsidR="00173C8F">
        <w:rPr>
          <w:rFonts w:ascii="Calibri" w:hAnsi="Calibri" w:cs="Calibri"/>
          <w:color w:val="000000" w:themeColor="text1"/>
        </w:rPr>
        <w:t>6</w:t>
      </w:r>
      <w:r>
        <w:rPr>
          <w:rFonts w:ascii="Calibri" w:hAnsi="Calibri" w:cs="Calibri"/>
          <w:color w:val="000000" w:themeColor="text1"/>
        </w:rPr>
        <w:t>€</w:t>
      </w:r>
    </w:p>
    <w:p w14:paraId="2BC8C0CF" w14:textId="77777777" w:rsidR="00C0084A" w:rsidRDefault="00C0084A" w:rsidP="00C0084A">
      <w:pPr>
        <w:pStyle w:val="Standard"/>
        <w:jc w:val="both"/>
        <w:rPr>
          <w:rFonts w:ascii="Calibri" w:hAnsi="Calibri" w:cs="Calibri"/>
          <w:color w:val="000000" w:themeColor="text1"/>
        </w:rPr>
      </w:pPr>
    </w:p>
    <w:p w14:paraId="53B3D01B" w14:textId="77777777" w:rsidR="00C352BE" w:rsidRDefault="00C352BE">
      <w:pPr>
        <w:rPr>
          <w:sz w:val="18"/>
          <w:szCs w:val="18"/>
        </w:rPr>
      </w:pPr>
    </w:p>
    <w:p w14:paraId="5297DD21" w14:textId="3EB8BD98" w:rsidR="00C352BE" w:rsidRDefault="00C352BE">
      <w:pPr>
        <w:rPr>
          <w:sz w:val="18"/>
          <w:szCs w:val="18"/>
        </w:rPr>
      </w:pPr>
    </w:p>
    <w:p w14:paraId="504E3AC6" w14:textId="28A88A94" w:rsidR="00EF619E" w:rsidRDefault="00EF619E" w:rsidP="00EF619E">
      <w:pPr>
        <w:jc w:val="center"/>
        <w:rPr>
          <w:b/>
          <w:bCs/>
          <w:sz w:val="24"/>
          <w:szCs w:val="24"/>
        </w:rPr>
      </w:pPr>
      <w:r w:rsidRPr="00EF619E">
        <w:rPr>
          <w:b/>
          <w:bCs/>
          <w:sz w:val="24"/>
          <w:szCs w:val="24"/>
        </w:rPr>
        <w:t>Synthèse</w:t>
      </w:r>
      <w:r>
        <w:rPr>
          <w:b/>
          <w:bCs/>
          <w:sz w:val="24"/>
          <w:szCs w:val="24"/>
        </w:rPr>
        <w:t> :</w:t>
      </w:r>
    </w:p>
    <w:p w14:paraId="64D92688" w14:textId="77777777" w:rsidR="00EF619E" w:rsidRPr="00EF619E" w:rsidRDefault="00EF619E" w:rsidP="00EF619E">
      <w:pPr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362"/>
        <w:gridCol w:w="1163"/>
        <w:gridCol w:w="1163"/>
        <w:gridCol w:w="1196"/>
        <w:gridCol w:w="1198"/>
        <w:gridCol w:w="1199"/>
        <w:gridCol w:w="1163"/>
        <w:gridCol w:w="1188"/>
      </w:tblGrid>
      <w:tr w:rsidR="00090275" w14:paraId="69F6C121" w14:textId="788A16F3" w:rsidTr="00090275">
        <w:tc>
          <w:tcPr>
            <w:tcW w:w="1362" w:type="dxa"/>
          </w:tcPr>
          <w:p w14:paraId="5EC3F049" w14:textId="7242C525" w:rsidR="00090275" w:rsidRPr="00090275" w:rsidRDefault="00090275" w:rsidP="00C352BE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Mesures</w:t>
            </w:r>
          </w:p>
        </w:tc>
        <w:tc>
          <w:tcPr>
            <w:tcW w:w="1163" w:type="dxa"/>
          </w:tcPr>
          <w:p w14:paraId="2DF2082C" w14:textId="7CC43640" w:rsidR="00090275" w:rsidRPr="00090275" w:rsidRDefault="00090275" w:rsidP="00C352BE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1</w:t>
            </w:r>
            <w:r w:rsidRPr="00090275">
              <w:rPr>
                <w:sz w:val="20"/>
                <w:szCs w:val="20"/>
                <w:vertAlign w:val="superscript"/>
              </w:rPr>
              <w:t>er</w:t>
            </w:r>
            <w:r w:rsidRPr="00090275">
              <w:rPr>
                <w:sz w:val="20"/>
                <w:szCs w:val="20"/>
              </w:rPr>
              <w:t xml:space="preserve"> janvier 2021</w:t>
            </w:r>
          </w:p>
        </w:tc>
        <w:tc>
          <w:tcPr>
            <w:tcW w:w="1163" w:type="dxa"/>
          </w:tcPr>
          <w:p w14:paraId="2A9A6BA0" w14:textId="4F593FD1" w:rsidR="00090275" w:rsidRPr="00090275" w:rsidRDefault="00090275" w:rsidP="00C352BE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1</w:t>
            </w:r>
            <w:r w:rsidRPr="00090275">
              <w:rPr>
                <w:sz w:val="20"/>
                <w:szCs w:val="20"/>
                <w:vertAlign w:val="superscript"/>
              </w:rPr>
              <w:t>er</w:t>
            </w:r>
            <w:r w:rsidRPr="00090275">
              <w:rPr>
                <w:sz w:val="20"/>
                <w:szCs w:val="20"/>
              </w:rPr>
              <w:t xml:space="preserve"> avril 2021</w:t>
            </w:r>
          </w:p>
        </w:tc>
        <w:tc>
          <w:tcPr>
            <w:tcW w:w="1196" w:type="dxa"/>
          </w:tcPr>
          <w:p w14:paraId="011FB42B" w14:textId="7AF22DB8" w:rsidR="00090275" w:rsidRPr="00090275" w:rsidRDefault="00090275" w:rsidP="00C352BE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1</w:t>
            </w:r>
            <w:r w:rsidRPr="00090275">
              <w:rPr>
                <w:sz w:val="20"/>
                <w:szCs w:val="20"/>
                <w:vertAlign w:val="superscript"/>
              </w:rPr>
              <w:t xml:space="preserve">er </w:t>
            </w:r>
            <w:r w:rsidRPr="00090275">
              <w:rPr>
                <w:sz w:val="20"/>
                <w:szCs w:val="20"/>
              </w:rPr>
              <w:t>octobre 2021</w:t>
            </w:r>
          </w:p>
        </w:tc>
        <w:tc>
          <w:tcPr>
            <w:tcW w:w="1198" w:type="dxa"/>
          </w:tcPr>
          <w:p w14:paraId="384F7D55" w14:textId="175F0896" w:rsidR="00090275" w:rsidRPr="00090275" w:rsidRDefault="00090275" w:rsidP="00C352BE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1</w:t>
            </w:r>
            <w:r w:rsidRPr="00090275">
              <w:rPr>
                <w:sz w:val="20"/>
                <w:szCs w:val="20"/>
                <w:vertAlign w:val="superscript"/>
              </w:rPr>
              <w:t>er</w:t>
            </w:r>
            <w:r w:rsidRPr="00090275">
              <w:rPr>
                <w:sz w:val="20"/>
                <w:szCs w:val="20"/>
              </w:rPr>
              <w:t xml:space="preserve"> janvier 2022</w:t>
            </w:r>
          </w:p>
        </w:tc>
        <w:tc>
          <w:tcPr>
            <w:tcW w:w="1199" w:type="dxa"/>
          </w:tcPr>
          <w:p w14:paraId="5C880A0F" w14:textId="3D0C1512" w:rsidR="00090275" w:rsidRPr="00090275" w:rsidRDefault="00090275" w:rsidP="00C352BE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1</w:t>
            </w:r>
            <w:r w:rsidRPr="00090275">
              <w:rPr>
                <w:sz w:val="20"/>
                <w:szCs w:val="20"/>
                <w:vertAlign w:val="superscript"/>
              </w:rPr>
              <w:t>er</w:t>
            </w:r>
            <w:r w:rsidRPr="00090275">
              <w:rPr>
                <w:sz w:val="20"/>
                <w:szCs w:val="20"/>
              </w:rPr>
              <w:t xml:space="preserve"> mai 2022</w:t>
            </w:r>
          </w:p>
        </w:tc>
        <w:tc>
          <w:tcPr>
            <w:tcW w:w="1163" w:type="dxa"/>
          </w:tcPr>
          <w:p w14:paraId="232E54B1" w14:textId="45B08B63" w:rsidR="00090275" w:rsidRPr="00090275" w:rsidRDefault="00090275" w:rsidP="00C352BE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1</w:t>
            </w:r>
            <w:r w:rsidRPr="00090275">
              <w:rPr>
                <w:sz w:val="20"/>
                <w:szCs w:val="20"/>
                <w:vertAlign w:val="superscript"/>
              </w:rPr>
              <w:t>er</w:t>
            </w:r>
            <w:r w:rsidRPr="00090275">
              <w:rPr>
                <w:sz w:val="20"/>
                <w:szCs w:val="20"/>
              </w:rPr>
              <w:t xml:space="preserve"> juillet 2022</w:t>
            </w:r>
          </w:p>
        </w:tc>
        <w:tc>
          <w:tcPr>
            <w:tcW w:w="1188" w:type="dxa"/>
          </w:tcPr>
          <w:p w14:paraId="649F63E8" w14:textId="7E88CF0C" w:rsidR="00090275" w:rsidRPr="00090275" w:rsidRDefault="00090275" w:rsidP="00C352BE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1</w:t>
            </w:r>
            <w:r w:rsidRPr="00090275">
              <w:rPr>
                <w:sz w:val="20"/>
                <w:szCs w:val="20"/>
                <w:vertAlign w:val="superscript"/>
              </w:rPr>
              <w:t>er</w:t>
            </w:r>
            <w:r w:rsidRPr="00090275">
              <w:rPr>
                <w:sz w:val="20"/>
                <w:szCs w:val="20"/>
              </w:rPr>
              <w:t xml:space="preserve"> septembre 2022</w:t>
            </w:r>
          </w:p>
        </w:tc>
      </w:tr>
      <w:tr w:rsidR="00090275" w14:paraId="4DCBD2F5" w14:textId="51C8B065" w:rsidTr="00090275">
        <w:tc>
          <w:tcPr>
            <w:tcW w:w="1362" w:type="dxa"/>
          </w:tcPr>
          <w:p w14:paraId="1B32880D" w14:textId="59780A4F" w:rsidR="00090275" w:rsidRPr="00090275" w:rsidRDefault="00090275" w:rsidP="008F1529">
            <w:pPr>
              <w:jc w:val="right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Minimum FP</w:t>
            </w:r>
          </w:p>
        </w:tc>
        <w:tc>
          <w:tcPr>
            <w:tcW w:w="1163" w:type="dxa"/>
          </w:tcPr>
          <w:p w14:paraId="0DD07264" w14:textId="34CF2335" w:rsidR="00090275" w:rsidRPr="00090275" w:rsidRDefault="00090275" w:rsidP="00C352BE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309</w:t>
            </w:r>
          </w:p>
        </w:tc>
        <w:tc>
          <w:tcPr>
            <w:tcW w:w="1163" w:type="dxa"/>
          </w:tcPr>
          <w:p w14:paraId="3A5C0D78" w14:textId="256D179C" w:rsidR="00090275" w:rsidRPr="00090275" w:rsidRDefault="00090275" w:rsidP="00C352BE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309</w:t>
            </w:r>
          </w:p>
        </w:tc>
        <w:tc>
          <w:tcPr>
            <w:tcW w:w="1196" w:type="dxa"/>
          </w:tcPr>
          <w:p w14:paraId="787D7F72" w14:textId="5DD71136" w:rsidR="00090275" w:rsidRPr="00090275" w:rsidRDefault="00090275" w:rsidP="00C352BE">
            <w:pPr>
              <w:jc w:val="center"/>
              <w:rPr>
                <w:b/>
                <w:bCs/>
                <w:sz w:val="20"/>
                <w:szCs w:val="20"/>
              </w:rPr>
            </w:pPr>
            <w:r w:rsidRPr="00090275">
              <w:rPr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1198" w:type="dxa"/>
          </w:tcPr>
          <w:p w14:paraId="018F23DE" w14:textId="54B96765" w:rsidR="00090275" w:rsidRPr="00090275" w:rsidRDefault="00090275" w:rsidP="00C352BE">
            <w:pPr>
              <w:jc w:val="center"/>
              <w:rPr>
                <w:b/>
                <w:bCs/>
                <w:sz w:val="20"/>
                <w:szCs w:val="20"/>
              </w:rPr>
            </w:pPr>
            <w:r w:rsidRPr="00090275">
              <w:rPr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1199" w:type="dxa"/>
          </w:tcPr>
          <w:p w14:paraId="6B5F9B0B" w14:textId="2DABE1CD" w:rsidR="00090275" w:rsidRPr="00090275" w:rsidRDefault="00090275" w:rsidP="00C352BE">
            <w:pPr>
              <w:jc w:val="center"/>
              <w:rPr>
                <w:b/>
                <w:bCs/>
                <w:sz w:val="20"/>
                <w:szCs w:val="20"/>
              </w:rPr>
            </w:pPr>
            <w:r w:rsidRPr="00090275">
              <w:rPr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1163" w:type="dxa"/>
          </w:tcPr>
          <w:p w14:paraId="4D3E0AB1" w14:textId="2707967B" w:rsidR="00090275" w:rsidRPr="00090275" w:rsidRDefault="00090275" w:rsidP="00C352BE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352</w:t>
            </w:r>
          </w:p>
        </w:tc>
        <w:tc>
          <w:tcPr>
            <w:tcW w:w="1188" w:type="dxa"/>
          </w:tcPr>
          <w:p w14:paraId="1B23E8DD" w14:textId="6279BBA3" w:rsidR="00090275" w:rsidRPr="00090275" w:rsidRDefault="00090275" w:rsidP="00C352BE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352</w:t>
            </w:r>
          </w:p>
        </w:tc>
      </w:tr>
      <w:tr w:rsidR="00090275" w14:paraId="051D87CE" w14:textId="4BA9156A" w:rsidTr="00090275">
        <w:tc>
          <w:tcPr>
            <w:tcW w:w="1362" w:type="dxa"/>
          </w:tcPr>
          <w:p w14:paraId="41B7374E" w14:textId="4254F5B2" w:rsidR="00090275" w:rsidRPr="00090275" w:rsidRDefault="00090275" w:rsidP="008F1529">
            <w:pPr>
              <w:jc w:val="right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Pied du C</w:t>
            </w:r>
          </w:p>
        </w:tc>
        <w:tc>
          <w:tcPr>
            <w:tcW w:w="1163" w:type="dxa"/>
          </w:tcPr>
          <w:p w14:paraId="5A19303E" w14:textId="73B39FF9" w:rsidR="00090275" w:rsidRPr="00090275" w:rsidRDefault="00090275" w:rsidP="00C0084A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330</w:t>
            </w:r>
          </w:p>
        </w:tc>
        <w:tc>
          <w:tcPr>
            <w:tcW w:w="1163" w:type="dxa"/>
          </w:tcPr>
          <w:p w14:paraId="1F68DDD8" w14:textId="10C11397" w:rsidR="00090275" w:rsidRPr="00090275" w:rsidRDefault="00090275" w:rsidP="00C0084A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332</w:t>
            </w:r>
          </w:p>
        </w:tc>
        <w:tc>
          <w:tcPr>
            <w:tcW w:w="1196" w:type="dxa"/>
          </w:tcPr>
          <w:p w14:paraId="15135CF8" w14:textId="530BA37E" w:rsidR="00090275" w:rsidRPr="00090275" w:rsidRDefault="00090275" w:rsidP="00C0084A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340</w:t>
            </w:r>
          </w:p>
        </w:tc>
        <w:tc>
          <w:tcPr>
            <w:tcW w:w="1198" w:type="dxa"/>
          </w:tcPr>
          <w:p w14:paraId="22E26419" w14:textId="61FEAF44" w:rsidR="00090275" w:rsidRPr="00090275" w:rsidRDefault="00090275" w:rsidP="00C0084A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343</w:t>
            </w:r>
          </w:p>
        </w:tc>
        <w:tc>
          <w:tcPr>
            <w:tcW w:w="1199" w:type="dxa"/>
          </w:tcPr>
          <w:p w14:paraId="6226C9EE" w14:textId="70E6765A" w:rsidR="00090275" w:rsidRPr="00090275" w:rsidRDefault="00090275" w:rsidP="00C0084A">
            <w:pPr>
              <w:jc w:val="center"/>
              <w:rPr>
                <w:b/>
                <w:bCs/>
                <w:sz w:val="20"/>
                <w:szCs w:val="20"/>
              </w:rPr>
            </w:pPr>
            <w:r w:rsidRPr="00090275">
              <w:rPr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1163" w:type="dxa"/>
          </w:tcPr>
          <w:p w14:paraId="3CB76E38" w14:textId="317B3729" w:rsidR="00090275" w:rsidRPr="00090275" w:rsidRDefault="00090275" w:rsidP="00D23F81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352</w:t>
            </w:r>
          </w:p>
        </w:tc>
        <w:tc>
          <w:tcPr>
            <w:tcW w:w="1188" w:type="dxa"/>
          </w:tcPr>
          <w:p w14:paraId="30A76704" w14:textId="2414E446" w:rsidR="00090275" w:rsidRPr="00090275" w:rsidRDefault="00090275" w:rsidP="00D23F81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352</w:t>
            </w:r>
          </w:p>
        </w:tc>
      </w:tr>
      <w:tr w:rsidR="00090275" w14:paraId="76E7DBF9" w14:textId="2127C053" w:rsidTr="00090275">
        <w:tc>
          <w:tcPr>
            <w:tcW w:w="1362" w:type="dxa"/>
          </w:tcPr>
          <w:p w14:paraId="7AEF4CE5" w14:textId="08C53024" w:rsidR="00090275" w:rsidRPr="00090275" w:rsidRDefault="00090275" w:rsidP="008F1529">
            <w:pPr>
              <w:jc w:val="right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Pied du B</w:t>
            </w:r>
          </w:p>
        </w:tc>
        <w:tc>
          <w:tcPr>
            <w:tcW w:w="1163" w:type="dxa"/>
          </w:tcPr>
          <w:p w14:paraId="6127ABCB" w14:textId="5E264B6B" w:rsidR="00090275" w:rsidRPr="00090275" w:rsidRDefault="00090275" w:rsidP="008F1529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343</w:t>
            </w:r>
          </w:p>
        </w:tc>
        <w:tc>
          <w:tcPr>
            <w:tcW w:w="1163" w:type="dxa"/>
          </w:tcPr>
          <w:p w14:paraId="4965F171" w14:textId="135C90B2" w:rsidR="00090275" w:rsidRPr="00090275" w:rsidRDefault="00090275" w:rsidP="008F1529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343</w:t>
            </w:r>
          </w:p>
        </w:tc>
        <w:tc>
          <w:tcPr>
            <w:tcW w:w="1196" w:type="dxa"/>
          </w:tcPr>
          <w:p w14:paraId="66EC4674" w14:textId="52E25EEC" w:rsidR="00090275" w:rsidRPr="00090275" w:rsidRDefault="00090275" w:rsidP="008F1529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343</w:t>
            </w:r>
          </w:p>
        </w:tc>
        <w:tc>
          <w:tcPr>
            <w:tcW w:w="1198" w:type="dxa"/>
          </w:tcPr>
          <w:p w14:paraId="1157B825" w14:textId="2264920A" w:rsidR="00090275" w:rsidRPr="00090275" w:rsidRDefault="00090275" w:rsidP="008F1529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343</w:t>
            </w:r>
          </w:p>
        </w:tc>
        <w:tc>
          <w:tcPr>
            <w:tcW w:w="1199" w:type="dxa"/>
          </w:tcPr>
          <w:p w14:paraId="6D401B69" w14:textId="4E073F88" w:rsidR="00090275" w:rsidRPr="00090275" w:rsidRDefault="00090275" w:rsidP="00C0084A">
            <w:pPr>
              <w:jc w:val="center"/>
              <w:rPr>
                <w:b/>
                <w:bCs/>
                <w:sz w:val="20"/>
                <w:szCs w:val="20"/>
              </w:rPr>
            </w:pPr>
            <w:r w:rsidRPr="00090275">
              <w:rPr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1163" w:type="dxa"/>
          </w:tcPr>
          <w:p w14:paraId="4F687F48" w14:textId="342D8F38" w:rsidR="00090275" w:rsidRPr="00090275" w:rsidRDefault="00090275" w:rsidP="00D23F81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352</w:t>
            </w:r>
          </w:p>
        </w:tc>
        <w:tc>
          <w:tcPr>
            <w:tcW w:w="1188" w:type="dxa"/>
          </w:tcPr>
          <w:p w14:paraId="0D09E8A7" w14:textId="25828AE7" w:rsidR="00090275" w:rsidRPr="00090275" w:rsidRDefault="00090275" w:rsidP="00D23F81">
            <w:pPr>
              <w:jc w:val="center"/>
              <w:rPr>
                <w:b/>
                <w:bCs/>
                <w:sz w:val="20"/>
                <w:szCs w:val="20"/>
              </w:rPr>
            </w:pPr>
            <w:r w:rsidRPr="00090275">
              <w:rPr>
                <w:b/>
                <w:bCs/>
                <w:sz w:val="20"/>
                <w:szCs w:val="20"/>
              </w:rPr>
              <w:t>356</w:t>
            </w:r>
          </w:p>
        </w:tc>
      </w:tr>
      <w:tr w:rsidR="00090275" w14:paraId="01E1632A" w14:textId="502F007F" w:rsidTr="00090275">
        <w:tc>
          <w:tcPr>
            <w:tcW w:w="1362" w:type="dxa"/>
          </w:tcPr>
          <w:p w14:paraId="7D3F5D65" w14:textId="41EB4C13" w:rsidR="00090275" w:rsidRPr="00090275" w:rsidRDefault="00090275" w:rsidP="00090275">
            <w:pPr>
              <w:jc w:val="right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Valeur du point</w:t>
            </w:r>
            <w:r>
              <w:rPr>
                <w:sz w:val="20"/>
                <w:szCs w:val="20"/>
              </w:rPr>
              <w:t xml:space="preserve"> </w:t>
            </w:r>
            <w:r w:rsidRPr="00090275">
              <w:rPr>
                <w:sz w:val="20"/>
                <w:szCs w:val="20"/>
              </w:rPr>
              <w:t>d’indice</w:t>
            </w:r>
          </w:p>
        </w:tc>
        <w:tc>
          <w:tcPr>
            <w:tcW w:w="1163" w:type="dxa"/>
            <w:vAlign w:val="center"/>
          </w:tcPr>
          <w:p w14:paraId="0DF06F7C" w14:textId="785CC29A" w:rsidR="00090275" w:rsidRPr="00090275" w:rsidRDefault="00090275" w:rsidP="00090275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0902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4,686025€</w:t>
            </w:r>
          </w:p>
        </w:tc>
        <w:tc>
          <w:tcPr>
            <w:tcW w:w="1163" w:type="dxa"/>
            <w:vAlign w:val="center"/>
          </w:tcPr>
          <w:p w14:paraId="58EFA33B" w14:textId="49F66E40" w:rsidR="00090275" w:rsidRPr="00090275" w:rsidRDefault="00090275" w:rsidP="00090275">
            <w:pPr>
              <w:jc w:val="center"/>
              <w:rPr>
                <w:sz w:val="20"/>
                <w:szCs w:val="20"/>
              </w:rPr>
            </w:pPr>
            <w:r w:rsidRPr="000902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4,686025€</w:t>
            </w:r>
          </w:p>
        </w:tc>
        <w:tc>
          <w:tcPr>
            <w:tcW w:w="1196" w:type="dxa"/>
            <w:vAlign w:val="center"/>
          </w:tcPr>
          <w:p w14:paraId="7C55ED84" w14:textId="0A8A7DEB" w:rsidR="00090275" w:rsidRPr="00090275" w:rsidRDefault="00090275" w:rsidP="00090275">
            <w:pPr>
              <w:jc w:val="center"/>
              <w:rPr>
                <w:sz w:val="20"/>
                <w:szCs w:val="20"/>
              </w:rPr>
            </w:pPr>
            <w:r w:rsidRPr="000902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4,686025€</w:t>
            </w:r>
          </w:p>
        </w:tc>
        <w:tc>
          <w:tcPr>
            <w:tcW w:w="1198" w:type="dxa"/>
            <w:vAlign w:val="center"/>
          </w:tcPr>
          <w:p w14:paraId="0785CE0D" w14:textId="7E0D495A" w:rsidR="00090275" w:rsidRPr="00090275" w:rsidRDefault="00090275" w:rsidP="00090275">
            <w:pPr>
              <w:jc w:val="center"/>
              <w:rPr>
                <w:sz w:val="20"/>
                <w:szCs w:val="20"/>
              </w:rPr>
            </w:pPr>
            <w:r w:rsidRPr="000902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4,686025€</w:t>
            </w:r>
          </w:p>
        </w:tc>
        <w:tc>
          <w:tcPr>
            <w:tcW w:w="1199" w:type="dxa"/>
            <w:vAlign w:val="center"/>
          </w:tcPr>
          <w:p w14:paraId="333E8E2F" w14:textId="5EC40F9C" w:rsidR="00090275" w:rsidRPr="00090275" w:rsidRDefault="00090275" w:rsidP="00090275">
            <w:pPr>
              <w:jc w:val="center"/>
              <w:rPr>
                <w:sz w:val="20"/>
                <w:szCs w:val="20"/>
              </w:rPr>
            </w:pPr>
            <w:r w:rsidRPr="0009027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4,686025€</w:t>
            </w:r>
          </w:p>
        </w:tc>
        <w:tc>
          <w:tcPr>
            <w:tcW w:w="1163" w:type="dxa"/>
            <w:vAlign w:val="center"/>
          </w:tcPr>
          <w:p w14:paraId="44FE0C71" w14:textId="7AD23DE1" w:rsidR="00090275" w:rsidRPr="00090275" w:rsidRDefault="00090275" w:rsidP="00090275">
            <w:pPr>
              <w:jc w:val="center"/>
              <w:rPr>
                <w:b/>
                <w:bCs/>
                <w:sz w:val="20"/>
                <w:szCs w:val="20"/>
              </w:rPr>
            </w:pPr>
            <w:r w:rsidRPr="00090275">
              <w:rPr>
                <w:b/>
                <w:bCs/>
                <w:sz w:val="20"/>
                <w:szCs w:val="20"/>
              </w:rPr>
              <w:t>4,850036€</w:t>
            </w:r>
          </w:p>
        </w:tc>
        <w:tc>
          <w:tcPr>
            <w:tcW w:w="1188" w:type="dxa"/>
            <w:vAlign w:val="center"/>
          </w:tcPr>
          <w:p w14:paraId="3632D9F6" w14:textId="6E9CDDCB" w:rsidR="00090275" w:rsidRPr="00090275" w:rsidRDefault="00090275" w:rsidP="00090275">
            <w:pPr>
              <w:jc w:val="center"/>
              <w:rPr>
                <w:sz w:val="20"/>
                <w:szCs w:val="20"/>
              </w:rPr>
            </w:pPr>
            <w:r w:rsidRPr="00090275">
              <w:rPr>
                <w:sz w:val="20"/>
                <w:szCs w:val="20"/>
              </w:rPr>
              <w:t>4,850036€</w:t>
            </w:r>
          </w:p>
        </w:tc>
      </w:tr>
    </w:tbl>
    <w:p w14:paraId="6E05BEE1" w14:textId="18D07CD8" w:rsidR="00C352BE" w:rsidRDefault="00077B19">
      <w:pPr>
        <w:rPr>
          <w:i/>
          <w:iCs/>
        </w:rPr>
      </w:pPr>
      <w:r w:rsidRPr="00077B19">
        <w:rPr>
          <w:i/>
          <w:iCs/>
        </w:rPr>
        <w:t>En gras : date de la modification.</w:t>
      </w:r>
    </w:p>
    <w:p w14:paraId="1152182E" w14:textId="1576488C" w:rsidR="00077B19" w:rsidRDefault="00077B19">
      <w:pPr>
        <w:rPr>
          <w:i/>
          <w:iCs/>
        </w:rPr>
      </w:pPr>
    </w:p>
    <w:p w14:paraId="75C9E04C" w14:textId="5CAEC1B6" w:rsidR="00077B19" w:rsidRDefault="00077B19">
      <w:pPr>
        <w:rPr>
          <w:i/>
          <w:iCs/>
        </w:rPr>
      </w:pPr>
    </w:p>
    <w:p w14:paraId="374A57EE" w14:textId="77777777" w:rsidR="00077B19" w:rsidRPr="00077B19" w:rsidRDefault="00077B19">
      <w:pPr>
        <w:rPr>
          <w:i/>
          <w:iCs/>
        </w:rPr>
      </w:pPr>
    </w:p>
    <w:sectPr w:rsidR="00077B19" w:rsidRPr="00077B19" w:rsidSect="00CB5F95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2BE"/>
    <w:rsid w:val="00077B19"/>
    <w:rsid w:val="00090275"/>
    <w:rsid w:val="00172AE3"/>
    <w:rsid w:val="00173C8F"/>
    <w:rsid w:val="001C4EB1"/>
    <w:rsid w:val="0028242C"/>
    <w:rsid w:val="0032419A"/>
    <w:rsid w:val="003A6A60"/>
    <w:rsid w:val="004B0004"/>
    <w:rsid w:val="007575BA"/>
    <w:rsid w:val="008C760D"/>
    <w:rsid w:val="008F1529"/>
    <w:rsid w:val="00A177A6"/>
    <w:rsid w:val="00A45D0F"/>
    <w:rsid w:val="00C0084A"/>
    <w:rsid w:val="00C03C20"/>
    <w:rsid w:val="00C352BE"/>
    <w:rsid w:val="00CB5F95"/>
    <w:rsid w:val="00D23F81"/>
    <w:rsid w:val="00EA0A98"/>
    <w:rsid w:val="00EF619E"/>
    <w:rsid w:val="00FC3B74"/>
    <w:rsid w:val="00FE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1A49"/>
  <w15:chartTrackingRefBased/>
  <w15:docId w15:val="{5DC5AF3F-9C41-46DC-889E-27C8401A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52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52BE"/>
    <w:pPr>
      <w:suppressAutoHyphens/>
      <w:autoSpaceDN w:val="0"/>
      <w:spacing w:after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Accentuation">
    <w:name w:val="Emphasis"/>
    <w:basedOn w:val="Policepardfaut"/>
    <w:uiPriority w:val="20"/>
    <w:qFormat/>
    <w:rsid w:val="00C008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FC5CC-79D6-4AEA-B9A9-DE2E28BB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310</Words>
  <Characters>1579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</cp:revision>
  <dcterms:created xsi:type="dcterms:W3CDTF">2022-06-30T06:09:00Z</dcterms:created>
  <dcterms:modified xsi:type="dcterms:W3CDTF">2022-07-03T17:09:00Z</dcterms:modified>
</cp:coreProperties>
</file>